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  <w:hyperlink r:id="rId3" w:history="1">
        <w:r>
          <w:rPr>
            <w:rStyle w:val="Hyperlink"/>
          </w:rPr>
          <w:t xml:space="preserve">← Voltar ao menu do Projeto Piraju</w:t>
        </w:r>
      </w:hyperlink>
    </w:p>
    <w:p>
      <w:pPr>
        <w:pStyle w:val="Heading1"/>
      </w:pPr>
      <w:r>
        <w:t xml:space="preserve">Captação de Corretores · LinkedIn</w:t>
      </w:r>
    </w:p>
    <w:p>
      <w:pPr/>
      <w:r>
        <w:t xml:space="preserve">Oct 12, 2026</w:t>
      </w:r>
      <w:r>
        <w:t xml:space="preserve"> · </w:t>
      </w:r>
      <w:r>
        <w:t xml:space="preserve">@Thiago Cavalcante</w:t>
      </w:r>
    </w:p>
    <w:p>
      <w:pPr>
        <w:pStyle w:val="Heading2"/>
      </w:pPr>
      <w:r>
        <w:t xml:space="preserve">Por que o anúncio anterior não converteu</w:t>
      </w:r>
    </w:p>
    <w:p>
      <w:pPr/>
      <w:r>
        <w:t xml:space="preserve">O anúncio pedia que um corretor com carteira própria entregasse clientes a uma empresa que ele não conhecia, sem dizer quem liquida o câmbio, quanto ele ganha e sobre qual base. Um corretor vive da carteira; ele só indica quando sabe quem opera, como é pago e que o cliente continua dele. Além do texto, a segmentação provavelmente estava larga (expansão automática ligada e função “Finance” sem competência de câmbio), o que entregou o anúncio a contadores e analistas.</w:t>
      </w:r>
    </w:p>
    <w:p>
      <w:pPr/>
      <w:r>
        <w:t xml:space="preserve">O que muda nas peças abaixo:</w:t>
      </w:r>
    </w:p>
    <w:p>
      <w:pPr>
        <w:pStyle w:val="ListParagraph"/>
        <w:numPr>
          <w:ilvl w:val="0"/>
          <w:numId w:val="2"/>
        </w:numPr>
      </w:pPr>
      <w:r>
        <w:t xml:space="preserve">Falar de parceria, não de vaga nem de “televendas”: o corretor indica e mantém o cliente; a Piraju conduz documentação, câmbio e registro no RDE-IED.</w:t>
      </w:r>
    </w:p>
    <w:p>
      <w:pPr>
        <w:pStyle w:val="ListParagraph"/>
        <w:numPr>
          <w:ilvl w:val="0"/>
          <w:numId w:val="2"/>
        </w:numPr>
      </w:pPr>
      <w:r>
        <w:t xml:space="preserve">Nomear quem opera: Piraju Tecnologia, CNPJ 47.994.118/0001-46, com a FenicePay como núcleo financeiro e liquidação em instituição autorizada pelo Banco Central.</w:t>
      </w:r>
    </w:p>
    <w:p>
      <w:pPr>
        <w:pStyle w:val="ListParagraph"/>
        <w:numPr>
          <w:ilvl w:val="0"/>
          <w:numId w:val="2"/>
        </w:numPr>
      </w:pPr>
      <w:r>
        <w:t xml:space="preserve">Prometer só o que está definido: remuneração por operação, com extrato, em contrato de parceria sem exclusividade nem meta. O percentual entra quando a Piraju fixar (campo aberto no resumo da operação).</w:t>
      </w:r>
    </w:p>
    <w:p>
      <w:pPr>
        <w:pStyle w:val="ListParagraph"/>
        <w:numPr>
          <w:ilvl w:val="0"/>
          <w:numId w:val="2"/>
        </w:numPr>
      </w:pPr>
      <w:r>
        <w:t xml:space="preserve">Um único pedido: 20 minutos para percorrer um caso real, com o resumo de uma página enviado antes.</w:t>
      </w:r>
    </w:p>
    <w:p>
      <w:pPr>
        <w:pStyle w:val="ListParagraph"/>
        <w:numPr>
          <w:ilvl w:val="0"/>
          <w:numId w:val="2"/>
        </w:numPr>
      </w:pPr>
      <w:r>
        <w:t xml:space="preserve">Sem “proteção contra bloqueio judicial”, “abertura garantida” ou taxa de câmbio prometida.</w:t>
      </w:r>
    </w:p>
    <w:p>
      <w:pPr>
        <w:pStyle w:val="Heading2"/>
      </w:pPr>
      <w:r>
        <w:t xml:space="preserve">Mensagem direta ao corretor</w:t>
      </w:r>
    </w:p>
    <w:p>
      <w:pPr/>
      <w:r>
        <w:t xml:space="preserve">Para InMail ou pedido de conexão aceito. Até 300 caracteres no primeiro envio do LinkedIn; a versão longa vai depois de aceita a conexão.</w:t>
      </w:r>
    </w:p>
    <w:p>
      <w:pPr/>
      <w:r>
        <w:rPr>
          <w:b/>
        </w:rPr>
        <w:t xml:space="preserve">Versão curta (pedido de conexão)</w:t>
      </w:r>
    </w:p>
    <w:p>
      <w:pPr>
        <w:pStyle w:val="Code"/>
      </w:pPr>
      <w:bookmarkStart w:id="1" w:name="bongo_lang_markdown_1"/>
      <w:bookmarkEnd w:id="1"/>
      <w:r>
        <w:t xml:space="preserve">[Nome], vi que você atende empresas com capital no exterior. A Piraju Tecnologia estrutura a entrada desse capital por investimento estrangeiro direto, com registro no Banco Central (RDE-IED). Estamos formando um grupo pequeno de corretores parceiros. Posso mandar um resumo de uma página?</w:t>
      </w:r>
    </w:p>
    <w:p>
      <w:pPr/>
      <w:r>
        <w:rPr>
          <w:b/>
        </w:rPr>
        <w:t xml:space="preserve">Versão completa (após aceite)</w:t>
      </w:r>
    </w:p>
    <w:p>
      <w:pPr>
        <w:pStyle w:val="Code"/>
      </w:pPr>
      <w:bookmarkStart w:id="2" w:name="bongo_lang_markdown_2"/>
      <w:bookmarkEnd w:id="2"/>
      <w:r>
        <w:t xml:space="preserve">[Nome], obrigado por aceitar.</w:t>
        <w:br/>
        <w:br/>
        <w:t xml:space="preserve">Sou [seu nome], da Piraju Tecnologia (São Paulo, CNPJ 47.994.118/0001-46). Estruturamos a entrada de capital estrangeiro em empresas brasileiras por investimento estrangeiro direto, com registro no RDE-IED do Banco Central. O câmbio é conduzido com a FenicePay, núcleo financeiro do nosso ecossistema, e liquidado em instituição autorizada.</w:t>
        <w:br/>
        <w:br/>
        <w:t xml:space="preserve">O que procuramos: corretores que já atendem empresas com sócios, matriz ou investidores fora do país.</w:t>
        <w:br/>
        <w:br/>
        <w:t xml:space="preserve">Como funciona: você indica e mantém o cliente; nossa equipe cuida do enquadramento, da documentação, do câmbio e do registro, e presta contas por operação, com extrato. Contrato de parceria sem exclusividade e sem meta.</w:t>
        <w:br/>
        <w:br/>
        <w:t xml:space="preserve">Se fizer sentido para a sua carteira, mando o resumo da operação em uma página e marcamos 20 minutos para percorrer um caso real, sem identificar o cliente.</w:t>
        <w:br/>
        <w:br/>
        <w:t xml:space="preserve">[Seu nome] · Piraju Tecnologia · (11) 2941-6040</w:t>
      </w:r>
    </w:p>
    <w:p>
      <w:pPr/>
      <w:r>
        <w:t xml:space="preserve">Regras de envio: no máximo 20 mensagens por dia, uma pessoa por empresa, sem segunda cobrança antes de sete dias. Quem responder recebe o </w:t>
      </w:r>
      <w:hyperlink r:id="rId4" w:history="1">
        <w:r>
          <w:rPr>
            <w:rStyle w:val="Hyperlink"/>
          </w:rPr>
          <w:t xml:space="preserve">Resumo da Operação de Câmbio para Parceiros</w:t>
        </w:r>
      </w:hyperlink>
      <w:r>
        <w:t xml:space="preserve"> no mesmo dia.</w:t>
      </w:r>
    </w:p>
    <w:p>
      <w:pPr>
        <w:pStyle w:val="Heading2"/>
      </w:pPr>
      <w:r>
        <w:t xml:space="preserve">Três posts para a página da Piraju</w:t>
      </w:r>
    </w:p>
    <w:p>
      <w:pPr/>
      <w:r>
        <w:t xml:space="preserve">Um post por semana, nesta ordem, sempre no mesmo dia e horário (terça ou quarta, entre 8h e 9h). Texto sem hashtags no corpo; três no fim, no máximo. Imagem: card em azul-marinho com uma frase, no design system Piraju, sem logos de parceiros.</w:t>
      </w:r>
    </w:p>
    <w:p>
      <w:pPr/>
      <w:r>
        <w:rPr>
          <w:b/>
        </w:rPr>
        <w:t xml:space="preserve">Post 1 · O problema do corretor</w:t>
      </w:r>
    </w:p>
    <w:p>
      <w:pPr>
        <w:pStyle w:val="Code"/>
      </w:pPr>
      <w:bookmarkStart w:id="3" w:name="bongo_lang_markdown_3"/>
      <w:bookmarkEnd w:id="3"/>
      <w:r>
        <w:t xml:space="preserve">Quando um cliente seu tem sócio ou matriz no exterior e precisa internar capital, a operação costuma travar no mesmo ponto: a documentação do investimento estrangeiro direto e o registro no Banco Central.</w:t>
        <w:br/>
        <w:br/>
        <w:t xml:space="preserve">O corretor conhece o cliente e o câmbio. O que falta é quem conduza o enquadramento como IED, reúna os documentos societários e faça o registro no RDE-IED, sem tirar o cliente da sua carteira.</w:t>
        <w:br/>
        <w:br/>
        <w:t xml:space="preserve">É isso que a Piraju Tecnologia faz. O corretor indica e mantém a relação; nós estruturamos, documentamos e registramos, e prestamos contas por operação.</w:t>
        <w:br/>
        <w:br/>
        <w:t xml:space="preserve">Se você atende empresas com capital fora do país, mande mensagem que enviamos o resumo da operação em uma página.</w:t>
        <w:br/>
        <w:br/>
        <w:t xml:space="preserve">#câmbio #investimentoestrangeiro #RDEIED</w:t>
      </w:r>
    </w:p>
    <w:p>
      <w:pPr/>
      <w:r>
        <w:rPr>
          <w:b/>
        </w:rPr>
        <w:t xml:space="preserve">Post 2 · Quem faz o quê</w:t>
      </w:r>
    </w:p>
    <w:p>
      <w:pPr>
        <w:pStyle w:val="Code"/>
      </w:pPr>
      <w:bookmarkStart w:id="4" w:name="bongo_lang_markdown_4"/>
      <w:bookmarkEnd w:id="4"/>
      <w:r>
        <w:t xml:space="preserve">Parceria com corretor de câmbio, sem letra miúda.</w:t>
        <w:br/>
        <w:br/>
        <w:t xml:space="preserve">O corretor: indica o cliente, mantém a relação comercial, não precisa de estrutura própria nem de autorização para indicar, recebe a comprovação de cada operação.</w:t>
        <w:br/>
        <w:br/>
        <w:t xml:space="preserve">A Piraju: enquadra a operação e responde antes de qualquer contato com o cliente, conduz a documentação, o câmbio (com a FenicePay, núcleo financeiro do nosso ecossistema, e liquidação em instituição autorizada pelo Banco Central) e o registro no RDE-IED, e presta contas da remuneração por operação, com extrato.</w:t>
        <w:br/>
        <w:br/>
        <w:t xml:space="preserve">Contrato de parceria sem exclusividade e sem meta mínima.</w:t>
        <w:br/>
        <w:br/>
        <w:t xml:space="preserve">O que não prometemos: taxa de câmbio, prazo garantido de registro ou benefício fiscal. Cada operação depende da análise da instituição liquidante.</w:t>
        <w:br/>
        <w:br/>
        <w:t xml:space="preserve">Estamos formando um grupo pequeno de corretores. Mensagem direta ou (11) 2941-6040.</w:t>
        <w:br/>
        <w:br/>
        <w:t xml:space="preserve">#câmbio #corretordecâmbio #parceria</w:t>
      </w:r>
    </w:p>
    <w:p>
      <w:pPr/>
      <w:r>
        <w:rPr>
          <w:b/>
        </w:rPr>
        <w:t xml:space="preserve">Post 3 · Um caso, passo a passo</w:t>
      </w:r>
    </w:p>
    <w:p>
      <w:pPr>
        <w:pStyle w:val="Code"/>
      </w:pPr>
      <w:bookmarkStart w:id="5" w:name="bongo_lang_markdown_5"/>
      <w:bookmarkEnd w:id="5"/>
      <w:r>
        <w:t xml:space="preserve">Como é uma operação de entrada de capital com a Piraju, em cinco passos.</w:t>
        <w:br/>
        <w:br/>
        <w:t xml:space="preserve">1. Indicação: o corretor apresenta o cliente e o contexto (origem dos recursos, empresa receptora, valor previsto).</w:t>
        <w:br/>
        <w:t xml:space="preserve">2. Enquadramento: verificamos se a operação se enquadra como investimento estrangeiro direto e respondemos ao corretor antes de falar com o cliente.</w:t>
        <w:br/>
        <w:t xml:space="preserve">3. Documentação: reunimos com o cliente os documentos societários e cadastrais exigidos pela instituição liquidante.</w:t>
        <w:br/>
        <w:t xml:space="preserve">4. Câmbio e registro: a instituição autorizada fecha o câmbio e o capital é registrado no RDE-IED em nome do investidor estrangeiro.</w:t>
        <w:br/>
        <w:t xml:space="preserve">5. Acompanhamento: corretor e cliente recebem a comprovação do registro; seguimos como ponto de contato para remessas seguintes e, no futuro, para a repatriação de dividendos.</w:t>
        <w:br/>
        <w:br/>
        <w:t xml:space="preserve">O cliente continua seu. Quer percorrer um caso real em 20 minutos? Mensagem direta.</w:t>
        <w:br/>
        <w:br/>
        <w:t xml:space="preserve">#investimentoestrangeiro #câmbio #BancoCentral</w:t>
      </w:r>
    </w:p>
    <w:p>
      <w:pPr>
        <w:pStyle w:val="Heading2"/>
      </w:pPr>
      <w:r>
        <w:t xml:space="preserve">Como publicar, segmentar e medir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Etapa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fazer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Onde está o detalhe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Antes de publicar</w:t>
            </w:r>
          </w:p>
        </w:tc>
        <w:tc>
          <w:tcPr>
            <w:tcW w:w="3120" w:type="dxa"/>
          </w:tcPr>
          <w:p>
            <w:pPr/>
            <w:r>
              <w:t xml:space="preserve">Preencher no resumo da operação os campos de remuneração (percentual, base, prazo e dias para pagamento) e confirmar o e-mail de contato</w:t>
            </w:r>
          </w:p>
        </w:tc>
        <w:tc>
          <w:tcPr>
            <w:tcW w:w="3120" w:type="dxa"/>
          </w:tcPr>
          <w:p>
            <w:pPr/>
            <w:hyperlink r:id="rId4" w:history="1">
              <w:r>
                <w:rPr>
                  <w:rStyle w:val="Hyperlink"/>
                </w:rPr>
                <w:t xml:space="preserve">Resumo da Operação de Câmbio para Parceiros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Semanas 1 a 3</w:t>
            </w:r>
          </w:p>
        </w:tc>
        <w:tc>
          <w:tcPr>
            <w:tcW w:w="3120" w:type="dxa"/>
          </w:tcPr>
          <w:p>
            <w:pPr/>
            <w:r>
              <w:t xml:space="preserve">Publicar os três posts na página da Piraju e repostar no perfil do Dalton; responder todo comentário em até 24 h</w:t>
            </w:r>
          </w:p>
        </w:tc>
        <w:tc>
          <w:tcPr>
            <w:tcW w:w="3120" w:type="dxa"/>
          </w:tcPr>
          <w:p>
            <w:pPr/>
            <w:r>
              <w:t xml:space="preserve">Posts acima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Em paralelo</w:t>
            </w:r>
          </w:p>
        </w:tc>
        <w:tc>
          <w:tcPr>
            <w:tcW w:w="3120" w:type="dxa"/>
          </w:tcPr>
          <w:p>
            <w:pPr/>
            <w:r>
              <w:t xml:space="preserve">Mensagem direta a 20 corretores por dia, a partir dos três públicos A, B e C</w:t>
            </w:r>
          </w:p>
        </w:tc>
        <w:tc>
          <w:tcPr>
            <w:tcW w:w="3120" w:type="dxa"/>
          </w:tcPr>
          <w:p>
            <w:pPr/>
            <w:hyperlink r:id="rId5" w:history="1">
              <w:r>
                <w:rPr>
                  <w:rStyle w:val="Hyperlink"/>
                </w:rPr>
                <w:t xml:space="preserve">Segmentação LinkedIn · Corretores de Câmbio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Se impulsionar</w:t>
            </w:r>
          </w:p>
        </w:tc>
        <w:tc>
          <w:tcPr>
            <w:tcW w:w="3120" w:type="dxa"/>
          </w:tcPr>
          <w:p>
            <w:pPr/>
            <w:r>
              <w:t xml:space="preserve">Promover o Post 2 com os filtros do público A, expansão de público e Audience Network desligados, 1.500 a 5.000 pessoas</w:t>
            </w:r>
          </w:p>
        </w:tc>
        <w:tc>
          <w:tcPr>
            <w:tcW w:w="3120" w:type="dxa"/>
          </w:tcPr>
          <w:p>
            <w:pPr/>
            <w:r>
              <w:t xml:space="preserve">Segmentação, tabela de parâmetros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Após duas semanas</w:t>
            </w:r>
          </w:p>
        </w:tc>
        <w:tc>
          <w:tcPr>
            <w:tcW w:w="3120" w:type="dxa"/>
          </w:tcPr>
          <w:p>
            <w:pPr/>
            <w:r>
              <w:t xml:space="preserve">Ler o relatório demográfico da campanha (cargos, setores e empresas que clicaram) e apertar o filtro</w:t>
            </w:r>
          </w:p>
        </w:tc>
        <w:tc>
          <w:tcPr>
            <w:tcW w:w="3120" w:type="dxa"/>
          </w:tcPr>
          <w:p>
            <w:pPr/>
            <w:r>
              <w:t xml:space="preserve">Segmentação, “Três públicos para testar”</w:t>
            </w:r>
          </w:p>
        </w:tc>
      </w:tr>
    </w:tbl>
    <w:p>
      <w:pPr/>
      <w:r>
        <w:t xml:space="preserve">O que medir: respostas à mensagem direta (meta: 1 em 10), pedidos do resumo, reuniões de 20 minutos marcadas e, só depois, operações indicadas. Cliques e impressões não contam; na campanha anterior eles não viraram conversa.</w:t>
      </w:r>
    </w:p>
    <w:p>
      <w:pPr/>
      <w:r>
        <w:t xml:space="preserve">Pendente da Piraju antes do primeiro envio: percentual e base da remuneração do corretor; prazo de resposta ao enquadramento; se o nome Dolar Brasil aparece ou só Piraju Tecnologia.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index.html" TargetMode="External"/><Relationship Id="rId4" Type="http://schemas.openxmlformats.org/officeDocument/2006/relationships/hyperlink" Target="Resumo da Opera&#231;&#227;o de C&#226;mbio para Parceiros.docx" TargetMode="External"/><Relationship Id="rId5" Type="http://schemas.openxmlformats.org/officeDocument/2006/relationships/hyperlink" Target="Segmenta&#231;&#227;o LinkedIn - Corretores de C&#226;mbio.docx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Captação de Corretores · LinkedIn</dc:title>
  <dc:description>Claude Docs node/064e21c3-638f@5 docx-w6</dc:description>
  <cp:revision>5</cp:revision>
</cp:coreProperties>
</file>